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8F" w:rsidRPr="00241C8F" w:rsidRDefault="00241C8F" w:rsidP="00241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Aggiornamento Bibliografia </w:t>
      </w:r>
      <w:proofErr w:type="spellStart"/>
      <w:r w:rsidRPr="00241C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gramsciana</w:t>
      </w:r>
      <w:proofErr w:type="spellEnd"/>
      <w:r w:rsidRPr="00241C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 Italia</w:t>
      </w:r>
      <w:r w:rsidRPr="00241C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i/>
          <w:sz w:val="28"/>
          <w:lang w:eastAsia="it-IT"/>
        </w:rPr>
        <w:t>(secondo semestre 2001)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  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a cura di Guido </w:t>
      </w:r>
      <w:proofErr w:type="spellStart"/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>Liguori</w:t>
      </w:r>
      <w:proofErr w:type="spellEnd"/>
      <w:r w:rsidRPr="00241C8F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br/>
      </w:r>
      <w:r w:rsidRPr="00241C8F"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Il presente contributo bibliografico, relativo al secondo semestre del 2001, vuole concorrere al periodico aggiornamento della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Bibliografia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gramsciana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 di John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Cammett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</w:t>
      </w:r>
      <w:r w:rsidRPr="00241C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Francesco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Giasi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Maria Luisa Righi. Il curatore del presente lavoro chiede la collaborazione di tutti i lettori e gli studiosi per segnalare volumi, saggi e articoli dell'anno in corso, e per integrare le voci eventualmente non monitorate, soprattutto per il secondo semestre 2001. Le segnalazioni dovranno pervenire al seguente e-mail: </w:t>
      </w:r>
      <w:hyperlink r:id="rId4" w:history="1">
        <w:r w:rsidRPr="00241C8F">
          <w:rPr>
            <w:rFonts w:ascii="Times New Roman" w:eastAsia="Times New Roman" w:hAnsi="Times New Roman" w:cs="Times New Roman"/>
            <w:color w:val="0000FF"/>
            <w:sz w:val="18"/>
            <w:u w:val="single"/>
            <w:lang w:eastAsia="it-IT"/>
          </w:rPr>
          <w:t>guido.liguori@libero.it</w:t>
        </w:r>
      </w:hyperlink>
    </w:p>
    <w:p w:rsidR="00241C8F" w:rsidRPr="00241C8F" w:rsidRDefault="00241C8F" w:rsidP="00241C8F">
      <w:pPr>
        <w:tabs>
          <w:tab w:val="num" w:pos="360"/>
        </w:tabs>
        <w:spacing w:before="100" w:beforeAutospacing="1" w:after="100" w:afterAutospacing="1" w:line="240" w:lineRule="exact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>1.</w:t>
      </w:r>
      <w:r w:rsidRPr="00241C8F">
        <w:rPr>
          <w:rFonts w:ascii="Times New Roman" w:eastAsia="Times New Roman" w:hAnsi="Times New Roman" w:cs="Times New Roman"/>
          <w:b/>
          <w:sz w:val="14"/>
          <w:lang w:eastAsia="it-IT"/>
        </w:rPr>
        <w:t xml:space="preserve">      </w:t>
      </w: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>Libri e fascicoli di rivista monografici interamente dedicati a Gramsci</w:t>
      </w:r>
    </w:p>
    <w:p w:rsidR="00241C8F" w:rsidRPr="00241C8F" w:rsidRDefault="00241C8F" w:rsidP="00241C8F">
      <w:pPr>
        <w:spacing w:before="120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Caprara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Massimo,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 &amp; i suoi carcerieri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con un saggio di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Yaroslav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Leontiev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Milano, Edizioni Ares, 2001, pp. 195. Contiene anche: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Yaroslav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Leontiev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Nel fascicolo del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Pcus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intestato a Julia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Apollonovna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Schcht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147-164.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Olga Gramsci (intervista con),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 perseguitato in famiglia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167-171.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Gramsci: il partito politico nei 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Quaderni, a cura di Salvo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Mastellone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 e Giorgio Sola, Firenze, Centro Editoriale Toscano, 2001, pp. 241. Contiene: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Salvo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Mastellone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Partito dominante e partito unico da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Kautsky</w:t>
      </w:r>
      <w:proofErr w:type="spellEnd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a De Man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pp. 11-26;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Giorgio Sola,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Scienza politica e analisi del partito in Gramsci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27-49;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Franco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Livorsi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Il partito di classe tra settarismo e scienza politica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51-79;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Nicola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Antonietti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La cultura giuridica italiana di fronte al tema del partito unico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81-93;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Sandro Mezzadra,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Il partito nella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giurispubblicistica</w:t>
      </w:r>
      <w:proofErr w:type="spellEnd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tedesca di età nazista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95-114;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Corrado Malandrino,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Gramsci e la 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Sociologia del partito politico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di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Michels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115-140;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Francesco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Tuccari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Gramsci e la sociologia marxista di Nikolaj I.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Bucharin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141-170;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Giovanna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Cavallari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Gramsci e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Sorel</w:t>
      </w:r>
      <w:proofErr w:type="spellEnd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: la scienza politica fra "mito" e partito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171-191;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Gaetano </w:t>
      </w:r>
      <w:proofErr w:type="spellStart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Calabrò</w:t>
      </w:r>
      <w:proofErr w:type="spellEnd"/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Qualche considerazione sul problema Machiavelli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pp. 193-203;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lastRenderedPageBreak/>
        <w:t xml:space="preserve">Marcello Montanari,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La finalità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etico-sociale</w:t>
      </w:r>
      <w:proofErr w:type="spellEnd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del partito politico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pp. 205-224;</w:t>
      </w: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Carlo Carini,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Il partito: una riflessione tra scienza politica e realtà storica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pp. 225-236.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Gramsci memoria e attualità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a cura di Giuseppe Petronio e Marina Paladini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Musitelli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Roma,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Manifestolibri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2001, pp. 235. Contiene: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Giuseppe Petronio,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. Gramsci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9-17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Donald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Sassoon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 e la vulgata marxista della Seconda e Terza Internazionale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19-31.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Fabio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Frosini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“ritorno 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” nei 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Quaderni del carcere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(1930)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33-68.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Guido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Stato e società civile da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a Gramsci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69-80.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Wolfgang Fritz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Haug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Materialismo storico e filosofia della prassi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81-97.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Roberto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Finelli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Gramsci. Due antropologie a confronto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99-121.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Aldo Tortorella,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Etica e politica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123-141.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Andrea Catone,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Fabbrica e classe operaia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143-157.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Giorgio Gilbert,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Gramsci,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Sraffa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il secondo libro del 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Capitale, pp. 159-173.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Jacques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Texier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Filosofia, economia e politica in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Gramsci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175-196.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Francisco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Fernandez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Buey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Lingua, linguaggio e politica in Gramsci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197-211.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Marina Paladini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Musitelli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Gramsci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pp. 213-235.</w:t>
      </w:r>
    </w:p>
    <w:p w:rsidR="00241C8F" w:rsidRPr="00241C8F" w:rsidRDefault="00241C8F" w:rsidP="00241C8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Noel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Bernard.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La sindrome di Gramsci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Introduzione di Donatella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Bisutti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; traduzione e cura di Fabio Scotto., Lecce: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Manni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2001, pp. 91. 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Pistillo, Michele,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 in carcere. Le difficili verità d’un lento assassinio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Manduria-Bari-Roma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Piero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Lacaita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2001, pp. 171.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>2. Libri con riferimenti a Gramsci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Barca, Luciano,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Buscando per mare con la decima Mas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Roma, Editori Riuniti, 2001, pp. 11-13.</w:t>
      </w:r>
    </w:p>
    <w:p w:rsidR="00241C8F" w:rsidRPr="00241C8F" w:rsidRDefault="00241C8F" w:rsidP="00241C8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De Mauro, Tullio,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 xml:space="preserve">Minima </w:t>
      </w:r>
      <w:proofErr w:type="spellStart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scholaria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.,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Roma-Bari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Laterza, 2001, pp. 18-21 (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In cammino verso Gramsci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).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>3. Saggi apparsi in libri e riviste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Barca, Luciano,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mio incontro con Gramsci alla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Quisisana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2001, n. 5, pp. 39-40.</w:t>
      </w:r>
    </w:p>
    <w:p w:rsidR="00241C8F" w:rsidRPr="00241C8F" w:rsidRDefault="00241C8F" w:rsidP="00241C8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Facchin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Cristian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Gramsci, l'Unione Sovietica, l'americanismo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in “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Slavia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”, 2001, n. 1, pp. 61-70. 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Gervasoni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Marco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. L'ospite inesistente: Gramsci, il laburismo e l'impossibile riforma degli italiani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in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Il modello laburista nell'Italia del Novecento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a cura di Ariane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Landuyt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 e Gian Biagio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Furiozzi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Milano, Franco Angeli, 2001, pp. 112-33.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Kolpakidi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Aleksander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 -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Leontiev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Jaroslav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.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 xml:space="preserve">Il peccato originale: Antonio Gramsci e la fondazione del </w:t>
      </w:r>
      <w:proofErr w:type="spellStart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PCd</w:t>
      </w:r>
      <w:proofErr w:type="spellEnd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'I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in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Bertelli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Sergio -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Bigazzi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Francesco (a cura di),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Pci: La storia dimenticata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Milano, Mondadori, 2001, pp. 25-60.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Kebir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Sabine,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“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Rivoluzione-restaurazione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” e “rivoluzione passiva”: concetti di storia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univerale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2001, n. 5, pp. 49-54.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lastRenderedPageBreak/>
        <w:t>Infranca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Antonino,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La “coda del diavolo”.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Aricò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, Gramsci e l’America latina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2001, n. 5, pp. 41-48.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Liguori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Guido,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La società civile da Gramsci a Berlusconi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2001, n. 6, pp. 43-51.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Magri, Lucio,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Il Gramsci di Togliatti (Una nuova edizione degli scritti)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“la rivista del manifesto”, settembre 2001, pp. 54-59.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Magri, Lucio,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gramscismo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alla prova degli anni sessanta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“la rivista del manifesto”, ottobre 2001, pp. 56-62.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Medolla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Elisa,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Il concetto di popolo in Tolstoj e Manzoni. Il punto di vista di Gramsci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in Nicola Siciliani de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Cumis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</w:t>
      </w:r>
      <w:proofErr w:type="spellStart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Italia-Urss</w:t>
      </w:r>
      <w:proofErr w:type="spellEnd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/</w:t>
      </w:r>
      <w:proofErr w:type="spellStart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Russia-Italia</w:t>
      </w:r>
      <w:proofErr w:type="spellEnd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 xml:space="preserve">: Tra </w:t>
      </w:r>
      <w:proofErr w:type="spellStart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culturologia</w:t>
      </w:r>
      <w:proofErr w:type="spellEnd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 xml:space="preserve"> ed educazione 1984-2001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Roma, Associazione culturale "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Slavia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", 2001, pp. 329-37.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Orlandi, Costanza,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Il dialogo nei “Quaderni”. Per un confronto tra Gramsci e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Bachtin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2001, n. 5, pp. 55-61.</w:t>
      </w:r>
    </w:p>
    <w:p w:rsidR="00241C8F" w:rsidRPr="00241C8F" w:rsidRDefault="00241C8F" w:rsidP="00241C8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Paris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Robert,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Nino legge Nello (Antonio Gramsci lettore di Nello Rosselli)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in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Carlo e Nello Rosselli e l'antifascismo europeo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a cura di Antonio </w:t>
      </w: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Bechelloni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Milano, Franco Angeli, 2001, pp. 209-223.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Prestipino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Giuseppe,</w:t>
      </w: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 xml:space="preserve">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Comunismo e libertà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luglio-agosto 2001, n. 4, pp. 33-49 (in particolare pp. 39-40 e 47-49).</w:t>
      </w:r>
    </w:p>
    <w:p w:rsidR="00241C8F" w:rsidRPr="00241C8F" w:rsidRDefault="00241C8F" w:rsidP="00241C8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Savio, Antonella,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 xml:space="preserve">Gramsci e </w:t>
      </w:r>
      <w:proofErr w:type="spellStart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Bordiga</w:t>
      </w:r>
      <w:proofErr w:type="spellEnd"/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: Le comunanze nelle differenze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in “Utopia socialista”, 2001, n. 1, pp. 97-103.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Viansino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Giovanni,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Gramsci e l’antichistica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“Critica marxista”, 2001, n. 6, pp. 52-56</w:t>
      </w:r>
    </w:p>
    <w:p w:rsidR="00241C8F" w:rsidRPr="00241C8F" w:rsidRDefault="00241C8F" w:rsidP="00241C8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Viglongo</w:t>
      </w:r>
      <w:proofErr w:type="spellEnd"/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 xml:space="preserve">, Andrea, </w:t>
      </w:r>
      <w:r w:rsidRPr="00241C8F">
        <w:rPr>
          <w:rFonts w:ascii="Times New Roman" w:eastAsia="Times New Roman" w:hAnsi="Times New Roman" w:cs="Times New Roman"/>
          <w:i/>
          <w:snapToGrid w:val="0"/>
          <w:sz w:val="18"/>
          <w:lang w:eastAsia="it-IT"/>
        </w:rPr>
        <w:t>Testimonianze su Gobetti e "L'Ordine Nuovo"</w:t>
      </w:r>
      <w:r w:rsidRPr="00241C8F">
        <w:rPr>
          <w:rFonts w:ascii="Times New Roman" w:eastAsia="Times New Roman" w:hAnsi="Times New Roman" w:cs="Times New Roman"/>
          <w:snapToGrid w:val="0"/>
          <w:sz w:val="18"/>
          <w:lang w:eastAsia="it-IT"/>
        </w:rPr>
        <w:t>, in "Almanacco piemontese”, 2001, pp. 27-31.</w:t>
      </w:r>
    </w:p>
    <w:p w:rsidR="00241C8F" w:rsidRPr="00241C8F" w:rsidRDefault="00241C8F" w:rsidP="00241C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b/>
          <w:sz w:val="18"/>
          <w:lang w:eastAsia="it-IT"/>
        </w:rPr>
        <w:t>4. Articoli e recensioni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Burgio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Alberto,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Gramsci vis à vis con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, in “il manifesto” [recensione a </w:t>
      </w:r>
      <w:proofErr w:type="spellStart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e Gramsci memoria e attualità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], 24 novembre 2001.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D’Orsi, Angelo,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Il fascismo? Un’idea di Gramsci e Pirandello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“La Stampa”, 6 dicembre 2001.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Gramsci,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Vincenzino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 [Vincenzo </w:t>
      </w: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Sparagna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],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Vita, imprese e avventure di Nonno Nino [quarta puntata]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, in "La piccola Unità", luglio-agosto 2001, n. 4, p. 11.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41C8F">
        <w:rPr>
          <w:rFonts w:ascii="Times New Roman" w:eastAsia="Times New Roman" w:hAnsi="Times New Roman" w:cs="Times New Roman"/>
          <w:sz w:val="18"/>
          <w:lang w:eastAsia="it-IT"/>
        </w:rPr>
        <w:t>Losurdo</w:t>
      </w:r>
      <w:proofErr w:type="spellEnd"/>
      <w:r w:rsidRPr="00241C8F">
        <w:rPr>
          <w:rFonts w:ascii="Times New Roman" w:eastAsia="Times New Roman" w:hAnsi="Times New Roman" w:cs="Times New Roman"/>
          <w:sz w:val="18"/>
          <w:lang w:eastAsia="it-IT"/>
        </w:rPr>
        <w:t>, Domenico,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 xml:space="preserve"> Nel laboratorio dei Quaderni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 xml:space="preserve"> [recensione a P. Togliatti, </w:t>
      </w:r>
      <w:r w:rsidRPr="00241C8F">
        <w:rPr>
          <w:rFonts w:ascii="Times New Roman" w:eastAsia="Times New Roman" w:hAnsi="Times New Roman" w:cs="Times New Roman"/>
          <w:i/>
          <w:sz w:val="18"/>
          <w:lang w:eastAsia="it-IT"/>
        </w:rPr>
        <w:t>Scritti su Gramsci</w:t>
      </w:r>
      <w:r w:rsidRPr="00241C8F">
        <w:rPr>
          <w:rFonts w:ascii="Times New Roman" w:eastAsia="Times New Roman" w:hAnsi="Times New Roman" w:cs="Times New Roman"/>
          <w:sz w:val="18"/>
          <w:lang w:eastAsia="it-IT"/>
        </w:rPr>
        <w:t>], in "il manifesto", 21 luglio 2001.</w:t>
      </w:r>
    </w:p>
    <w:p w:rsidR="00241C8F" w:rsidRPr="00241C8F" w:rsidRDefault="00241C8F" w:rsidP="00241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1C8F">
        <w:rPr>
          <w:rFonts w:ascii="Times New Roman" w:eastAsia="Times New Roman" w:hAnsi="Times New Roman" w:cs="Times New Roman"/>
          <w:color w:val="000000"/>
          <w:sz w:val="18"/>
          <w:szCs w:val="20"/>
          <w:lang w:eastAsia="it-IT"/>
        </w:rPr>
        <w:br/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 xml:space="preserve">Orlandi, Costanza, </w:t>
      </w:r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Spazi di confronto tra </w:t>
      </w:r>
      <w:proofErr w:type="spellStart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>Marx</w:t>
      </w:r>
      <w:proofErr w:type="spellEnd"/>
      <w:r w:rsidRPr="00241C8F">
        <w:rPr>
          <w:rFonts w:ascii="Times New Roman" w:eastAsia="Times New Roman" w:hAnsi="Times New Roman" w:cs="Times New Roman"/>
          <w:i/>
          <w:color w:val="000000"/>
          <w:sz w:val="18"/>
          <w:lang w:eastAsia="it-IT"/>
        </w:rPr>
        <w:t xml:space="preserve"> e Gramsci</w:t>
      </w:r>
      <w:r w:rsidRPr="00241C8F">
        <w:rPr>
          <w:rFonts w:ascii="Times New Roman" w:eastAsia="Times New Roman" w:hAnsi="Times New Roman" w:cs="Times New Roman"/>
          <w:color w:val="000000"/>
          <w:sz w:val="18"/>
          <w:lang w:eastAsia="it-IT"/>
        </w:rPr>
        <w:t>, in “Critica marxista”, 2001, n. 6, pp. 75-76.</w:t>
      </w:r>
    </w:p>
    <w:p w:rsidR="000E682B" w:rsidRDefault="00241C8F"/>
    <w:sectPr w:rsidR="000E682B" w:rsidSect="007842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41C8F"/>
    <w:rsid w:val="001B2A11"/>
    <w:rsid w:val="00241C8F"/>
    <w:rsid w:val="00784269"/>
    <w:rsid w:val="00C0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2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dium">
    <w:name w:val="medium"/>
    <w:basedOn w:val="Carpredefinitoparagrafo"/>
    <w:rsid w:val="00241C8F"/>
  </w:style>
  <w:style w:type="character" w:styleId="Collegamentoipertestuale">
    <w:name w:val="Hyperlink"/>
    <w:basedOn w:val="Carpredefinitoparagrafo"/>
    <w:uiPriority w:val="99"/>
    <w:semiHidden/>
    <w:unhideWhenUsed/>
    <w:rsid w:val="00241C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do.liguori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2016-07-11T14:12:00Z</dcterms:created>
  <dcterms:modified xsi:type="dcterms:W3CDTF">2016-07-11T14:12:00Z</dcterms:modified>
</cp:coreProperties>
</file>